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5089" w14:textId="600002A1" w:rsidR="00F53FC0" w:rsidRDefault="00F53FC0" w:rsidP="00AC149B">
      <w:pPr>
        <w:spacing w:after="120"/>
        <w:jc w:val="center"/>
        <w:rPr>
          <w:rFonts w:eastAsiaTheme="minorEastAsia" w:cstheme="minorBidi"/>
          <w:b/>
          <w:color w:val="5A5A5A" w:themeColor="text1" w:themeTint="A5"/>
          <w:sz w:val="40"/>
          <w:szCs w:val="22"/>
          <w:lang w:eastAsia="en-US"/>
        </w:rPr>
      </w:pPr>
      <w:r>
        <w:rPr>
          <w:noProof/>
        </w:rPr>
        <w:drawing>
          <wp:inline distT="0" distB="0" distL="0" distR="0" wp14:anchorId="50F4F156" wp14:editId="7F367AB1">
            <wp:extent cx="2926080"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914400"/>
                    </a:xfrm>
                    <a:prstGeom prst="rect">
                      <a:avLst/>
                    </a:prstGeom>
                    <a:noFill/>
                    <a:ln>
                      <a:noFill/>
                    </a:ln>
                  </pic:spPr>
                </pic:pic>
              </a:graphicData>
            </a:graphic>
          </wp:inline>
        </w:drawing>
      </w:r>
    </w:p>
    <w:p w14:paraId="7BE18EE1" w14:textId="6FDF7A4C"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182418DE"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8D34CB">
        <w:rPr>
          <w:lang w:eastAsia="en-US"/>
        </w:rPr>
        <w:t>2</w:t>
      </w:r>
      <w:r w:rsidR="00054CBC">
        <w:rPr>
          <w:lang w:eastAsia="en-US"/>
        </w:rPr>
        <w:t>/2</w:t>
      </w:r>
      <w:r w:rsidR="008D34CB">
        <w:rPr>
          <w:lang w:eastAsia="en-US"/>
        </w:rPr>
        <w:t>3</w:t>
      </w:r>
    </w:p>
    <w:p w14:paraId="46951EBA" w14:textId="1D9714CD"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In 202</w:t>
      </w:r>
      <w:r w:rsidR="008D34CB">
        <w:rPr>
          <w:rFonts w:eastAsia="Times New Roman" w:cs="Arial"/>
          <w:color w:val="595959"/>
          <w:spacing w:val="0"/>
          <w:sz w:val="20"/>
          <w:szCs w:val="40"/>
        </w:rPr>
        <w:t>2</w:t>
      </w:r>
      <w:r w:rsidRPr="001D1585">
        <w:rPr>
          <w:rFonts w:eastAsia="Times New Roman" w:cs="Arial"/>
          <w:color w:val="595959"/>
          <w:spacing w:val="0"/>
          <w:sz w:val="20"/>
          <w:szCs w:val="40"/>
        </w:rPr>
        <w:t>/2</w:t>
      </w:r>
      <w:r w:rsidR="008D34CB">
        <w:rPr>
          <w:rFonts w:eastAsia="Times New Roman" w:cs="Arial"/>
          <w:color w:val="595959"/>
          <w:spacing w:val="0"/>
          <w:sz w:val="20"/>
          <w:szCs w:val="40"/>
        </w:rPr>
        <w:t>3</w:t>
      </w:r>
      <w:r w:rsidRPr="001D1585">
        <w:rPr>
          <w:rFonts w:eastAsia="Times New Roman" w:cs="Arial"/>
          <w:color w:val="595959"/>
          <w:spacing w:val="0"/>
          <w:sz w:val="20"/>
          <w:szCs w:val="40"/>
        </w:rPr>
        <w:t xml:space="preserve">,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1"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0C70740B" w:rsidR="005A191A" w:rsidRDefault="009A32CD" w:rsidP="009A32CD">
      <w:r>
        <w:t xml:space="preserve">Central to the programme will be a small, abacus-like piece of equipment called a </w:t>
      </w:r>
      <w:proofErr w:type="spellStart"/>
      <w:r>
        <w:t>rekenrek</w:t>
      </w:r>
      <w:proofErr w:type="spellEnd"/>
      <w:r>
        <w:t xml:space="preserve">, </w:t>
      </w:r>
      <w:r w:rsidRPr="00C7656B">
        <w:rPr>
          <w:b/>
        </w:rPr>
        <w:t xml:space="preserve">which </w:t>
      </w:r>
      <w:r w:rsidR="008D34CB" w:rsidRPr="00C7656B">
        <w:rPr>
          <w:b/>
        </w:rPr>
        <w:t>schools will need to purchase</w:t>
      </w:r>
      <w:r w:rsidR="008D34CB">
        <w:t xml:space="preserve"> so they can be</w:t>
      </w:r>
      <w:r>
        <w:t xml:space="preserv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40923431" w14:textId="7A49B177" w:rsidR="00A00E3E" w:rsidRPr="00A00E3E" w:rsidRDefault="00C7656B"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31ACDB72"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w:t>
      </w:r>
      <w:r w:rsidR="008D34CB">
        <w:rPr>
          <w:rFonts w:eastAsia="Times New Roman" w:cs="Arial"/>
          <w:color w:val="595959"/>
          <w:spacing w:val="0"/>
          <w:sz w:val="20"/>
          <w:szCs w:val="40"/>
        </w:rPr>
        <w:t>2</w:t>
      </w:r>
      <w:r w:rsidRPr="00716F42">
        <w:rPr>
          <w:rFonts w:eastAsia="Times New Roman" w:cs="Arial"/>
          <w:color w:val="595959"/>
          <w:spacing w:val="0"/>
          <w:sz w:val="20"/>
          <w:szCs w:val="40"/>
        </w:rPr>
        <w:t>/2</w:t>
      </w:r>
      <w:r w:rsidR="008D34CB">
        <w:rPr>
          <w:rFonts w:eastAsia="Times New Roman" w:cs="Arial"/>
          <w:color w:val="595959"/>
          <w:spacing w:val="0"/>
          <w:sz w:val="20"/>
          <w:szCs w:val="40"/>
        </w:rPr>
        <w:t>3</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in order for them to teach daily sessions of the Mastering Number Programme. </w:t>
      </w:r>
    </w:p>
    <w:p w14:paraId="60A6223E" w14:textId="5C14BE74" w:rsidR="004E7134" w:rsidRDefault="004E7134" w:rsidP="004E7134">
      <w:pPr>
        <w:pStyle w:val="Subtitle"/>
      </w:pPr>
      <w:r>
        <w:t>How to apply</w:t>
      </w:r>
    </w:p>
    <w:p w14:paraId="525CB116" w14:textId="77777777" w:rsidR="00125E7D" w:rsidRDefault="0092708A" w:rsidP="0092708A">
      <w:r>
        <w:t>Schools interested in applying to be part of a Work Group in 202</w:t>
      </w:r>
      <w:r w:rsidR="008D34CB">
        <w:t>2</w:t>
      </w:r>
      <w:r>
        <w:t>/2</w:t>
      </w:r>
      <w:r w:rsidR="008D34CB">
        <w:t>3</w:t>
      </w:r>
      <w:r>
        <w:t xml:space="preserve"> should complete the application form below and </w:t>
      </w:r>
      <w:r w:rsidRPr="000D56DE">
        <w:rPr>
          <w:b/>
          <w:bCs w:val="0"/>
        </w:rPr>
        <w:t xml:space="preserve">submit </w:t>
      </w:r>
      <w:r w:rsidR="000D56DE" w:rsidRPr="000D56DE">
        <w:rPr>
          <w:b/>
          <w:bCs w:val="0"/>
        </w:rPr>
        <w:t xml:space="preserve">it, by email, </w:t>
      </w:r>
      <w:r w:rsidRPr="000D56DE">
        <w:rPr>
          <w:b/>
          <w:bCs w:val="0"/>
        </w:rPr>
        <w:t xml:space="preserve">to </w:t>
      </w:r>
      <w:hyperlink r:id="rId12" w:history="1">
        <w:r w:rsidR="008D34CB" w:rsidRPr="001A67D5">
          <w:rPr>
            <w:rStyle w:val="Hyperlink"/>
            <w:b/>
            <w:bCs w:val="0"/>
          </w:rPr>
          <w:t>sarah.makin@three-saints.org.uk</w:t>
        </w:r>
      </w:hyperlink>
      <w:r w:rsidR="008D34CB">
        <w:rPr>
          <w:b/>
          <w:bCs w:val="0"/>
        </w:rPr>
        <w:t>.</w:t>
      </w:r>
      <w:r>
        <w:t xml:space="preserve"> Early applications are encouraged.</w:t>
      </w:r>
      <w:r w:rsidR="00AB084B">
        <w:t xml:space="preserve"> </w:t>
      </w:r>
    </w:p>
    <w:p w14:paraId="42F08710" w14:textId="652833EB" w:rsidR="0092708A" w:rsidRDefault="00311F26" w:rsidP="0092708A">
      <w:r>
        <w:t xml:space="preserve">You can find your local Maths Hub </w:t>
      </w:r>
      <w:hyperlink r:id="rId13" w:history="1">
        <w:r w:rsidRPr="00311F26">
          <w:rPr>
            <w:rStyle w:val="Hyperlink"/>
          </w:rPr>
          <w:t>using the search tool on the NCETM website</w:t>
        </w:r>
      </w:hyperlink>
      <w:r>
        <w:t>.</w:t>
      </w:r>
    </w:p>
    <w:p w14:paraId="301103D9" w14:textId="680DD534" w:rsidR="008D34CB" w:rsidRDefault="00436BC2" w:rsidP="008D34CB">
      <w:r>
        <w:t xml:space="preserve">Closing date for applications is: </w:t>
      </w:r>
    </w:p>
    <w:p w14:paraId="0B12DF3E" w14:textId="33AFBFDD" w:rsidR="00F53FC0" w:rsidRPr="00F53FC0" w:rsidRDefault="00F53FC0" w:rsidP="008D34CB">
      <w:pPr>
        <w:rPr>
          <w:b/>
          <w:sz w:val="36"/>
          <w:szCs w:val="36"/>
          <w:u w:val="single"/>
        </w:rPr>
      </w:pPr>
      <w:r w:rsidRPr="00F53FC0">
        <w:rPr>
          <w:b/>
          <w:sz w:val="36"/>
          <w:szCs w:val="36"/>
          <w:u w:val="single"/>
        </w:rPr>
        <w:t xml:space="preserve">FRIDAY </w:t>
      </w:r>
      <w:r>
        <w:rPr>
          <w:b/>
          <w:sz w:val="36"/>
          <w:szCs w:val="36"/>
          <w:u w:val="single"/>
        </w:rPr>
        <w:t>10</w:t>
      </w:r>
      <w:r w:rsidRPr="00F53FC0">
        <w:rPr>
          <w:b/>
          <w:sz w:val="36"/>
          <w:szCs w:val="36"/>
          <w:u w:val="single"/>
          <w:vertAlign w:val="superscript"/>
        </w:rPr>
        <w:t>th</w:t>
      </w:r>
      <w:r>
        <w:rPr>
          <w:b/>
          <w:sz w:val="36"/>
          <w:szCs w:val="36"/>
          <w:u w:val="single"/>
        </w:rPr>
        <w:t xml:space="preserve"> JUNE</w:t>
      </w:r>
      <w:r w:rsidRPr="00F53FC0">
        <w:rPr>
          <w:b/>
          <w:sz w:val="36"/>
          <w:szCs w:val="36"/>
          <w:u w:val="single"/>
        </w:rPr>
        <w:t xml:space="preserve"> 2022</w:t>
      </w:r>
    </w:p>
    <w:p w14:paraId="408F9480" w14:textId="77777777" w:rsidR="008D34CB" w:rsidRDefault="008D34CB" w:rsidP="008D34CB">
      <w:pPr>
        <w:rPr>
          <w:rFonts w:eastAsia="Calibri"/>
          <w:lang w:eastAsia="en-US"/>
        </w:rPr>
      </w:pPr>
    </w:p>
    <w:p w14:paraId="549E2F42" w14:textId="77777777" w:rsidR="008D34CB" w:rsidRDefault="008D34CB" w:rsidP="008D34CB">
      <w:pPr>
        <w:rPr>
          <w:rFonts w:eastAsia="Calibri"/>
          <w:lang w:eastAsia="en-US"/>
        </w:rPr>
      </w:pPr>
    </w:p>
    <w:p w14:paraId="1E459DE0" w14:textId="77777777" w:rsidR="008D34CB" w:rsidRDefault="008D34CB" w:rsidP="008D34CB">
      <w:pPr>
        <w:rPr>
          <w:rFonts w:eastAsia="Calibri"/>
          <w:lang w:eastAsia="en-US"/>
        </w:rPr>
      </w:pPr>
    </w:p>
    <w:p w14:paraId="254F39C0" w14:textId="77777777" w:rsidR="008D34CB" w:rsidRDefault="008D34CB" w:rsidP="008D34CB">
      <w:pPr>
        <w:rPr>
          <w:rFonts w:eastAsia="Calibri"/>
          <w:lang w:eastAsia="en-US"/>
        </w:rPr>
      </w:pPr>
    </w:p>
    <w:p w14:paraId="719BAAC6" w14:textId="77777777" w:rsidR="008D34CB" w:rsidRDefault="008D34CB" w:rsidP="008D34CB">
      <w:pPr>
        <w:rPr>
          <w:rFonts w:eastAsia="Calibri"/>
          <w:lang w:eastAsia="en-US"/>
        </w:rPr>
      </w:pPr>
    </w:p>
    <w:p w14:paraId="41540873" w14:textId="43CE13F6" w:rsidR="008D34CB" w:rsidRDefault="008D34CB" w:rsidP="008D34CB">
      <w:pPr>
        <w:rPr>
          <w:rFonts w:eastAsia="Calibri"/>
          <w:lang w:eastAsia="en-US"/>
        </w:rPr>
      </w:pPr>
    </w:p>
    <w:p w14:paraId="53E0A9BF" w14:textId="6CDCD502" w:rsidR="008D34CB" w:rsidRDefault="008D34CB" w:rsidP="008D34CB">
      <w:pPr>
        <w:rPr>
          <w:rFonts w:eastAsia="Calibri"/>
          <w:lang w:eastAsia="en-US"/>
        </w:rPr>
      </w:pPr>
    </w:p>
    <w:p w14:paraId="6EE498A6" w14:textId="52C0F9EF" w:rsidR="008D34CB" w:rsidRDefault="008D34CB" w:rsidP="008D34CB">
      <w:pPr>
        <w:rPr>
          <w:rFonts w:eastAsia="Calibri"/>
          <w:lang w:eastAsia="en-US"/>
        </w:rPr>
      </w:pPr>
    </w:p>
    <w:p w14:paraId="78C83A73" w14:textId="7BF356C0" w:rsidR="008720BC" w:rsidRPr="008D34CB" w:rsidRDefault="00BE0E69" w:rsidP="008D34CB">
      <w:pPr>
        <w:jc w:val="center"/>
        <w:rPr>
          <w:sz w:val="28"/>
          <w:szCs w:val="28"/>
        </w:rPr>
      </w:pPr>
      <w:r w:rsidRPr="008D34CB">
        <w:rPr>
          <w:rFonts w:eastAsia="Calibri"/>
          <w:sz w:val="28"/>
          <w:szCs w:val="28"/>
          <w:lang w:eastAsia="en-US"/>
        </w:rPr>
        <w:t>Mastering Number</w:t>
      </w:r>
      <w:r w:rsidR="0016451D" w:rsidRPr="008D34CB">
        <w:rPr>
          <w:rFonts w:eastAsia="Calibri"/>
          <w:sz w:val="28"/>
          <w:szCs w:val="28"/>
          <w:lang w:eastAsia="en-US"/>
        </w:rPr>
        <w:t xml:space="preserve"> </w:t>
      </w:r>
      <w:r w:rsidR="008720BC" w:rsidRPr="008D34CB">
        <w:rPr>
          <w:rFonts w:eastAsia="Calibri"/>
          <w:sz w:val="28"/>
          <w:szCs w:val="28"/>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6C72CD89"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complete and return to your Maths Hub</w:t>
      </w:r>
      <w:r w:rsidR="00311F26">
        <w:rPr>
          <w:rFonts w:eastAsia="Calibri"/>
          <w:bCs w:val="0"/>
          <w:i/>
          <w:iCs/>
          <w:color w:val="808080" w:themeColor="background1" w:themeShade="80"/>
          <w:szCs w:val="20"/>
          <w:lang w:eastAsia="en-US"/>
        </w:rPr>
        <w:t xml:space="preserve"> – details of the hubs can be found in the appendix below</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1BE97CB6" w:rsidR="00495043" w:rsidRPr="008720BC" w:rsidRDefault="008D34CB" w:rsidP="00775AE8">
            <w:pPr>
              <w:spacing w:before="0" w:line="276" w:lineRule="auto"/>
              <w:rPr>
                <w:rFonts w:cs="Arial"/>
                <w:color w:val="808080" w:themeColor="background1" w:themeShade="80"/>
                <w:szCs w:val="20"/>
              </w:rPr>
            </w:pPr>
            <w:r>
              <w:rPr>
                <w:rFonts w:cs="Arial"/>
                <w:color w:val="808080" w:themeColor="background1" w:themeShade="80"/>
                <w:szCs w:val="20"/>
              </w:rPr>
              <w:t>North West Three (NW3)</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4"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306C3667"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w:t>
            </w:r>
            <w:r w:rsidR="008D34CB">
              <w:rPr>
                <w:color w:val="808080" w:themeColor="background1" w:themeShade="80"/>
                <w:szCs w:val="20"/>
              </w:rPr>
              <w:t>2</w:t>
            </w:r>
            <w:r w:rsidRPr="00D3262B">
              <w:rPr>
                <w:color w:val="808080" w:themeColor="background1" w:themeShade="80"/>
                <w:szCs w:val="20"/>
              </w:rPr>
              <w:t>/2</w:t>
            </w:r>
            <w:r w:rsidR="008D34CB">
              <w:rPr>
                <w:color w:val="808080" w:themeColor="background1" w:themeShade="80"/>
                <w:szCs w:val="20"/>
              </w:rPr>
              <w:t>3</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5"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45CD3EE9"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w:t>
            </w:r>
            <w:r w:rsidR="008D34CB">
              <w:rPr>
                <w:color w:val="808080" w:themeColor="background1" w:themeShade="80"/>
                <w:szCs w:val="20"/>
              </w:rPr>
              <w:t>2</w:t>
            </w:r>
            <w:r w:rsidRPr="00D3262B">
              <w:rPr>
                <w:color w:val="808080" w:themeColor="background1" w:themeShade="80"/>
                <w:szCs w:val="20"/>
              </w:rPr>
              <w:t>/2</w:t>
            </w:r>
            <w:r w:rsidR="008D34CB">
              <w:rPr>
                <w:color w:val="808080" w:themeColor="background1" w:themeShade="80"/>
                <w:szCs w:val="20"/>
              </w:rPr>
              <w:t>3</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bookmarkStart w:id="0" w:name="_Hlk103589517"/>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6"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6D25DC8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w:t>
            </w:r>
            <w:r w:rsidR="008D34CB">
              <w:rPr>
                <w:color w:val="808080" w:themeColor="background1" w:themeShade="80"/>
                <w:szCs w:val="20"/>
              </w:rPr>
              <w:t>2</w:t>
            </w:r>
            <w:r w:rsidRPr="00D3262B">
              <w:rPr>
                <w:color w:val="808080" w:themeColor="background1" w:themeShade="80"/>
                <w:szCs w:val="20"/>
              </w:rPr>
              <w:t>/2</w:t>
            </w:r>
            <w:r w:rsidR="008D34CB">
              <w:rPr>
                <w:color w:val="808080" w:themeColor="background1" w:themeShade="80"/>
                <w:szCs w:val="20"/>
              </w:rPr>
              <w:t>3</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bookmarkEnd w:id="0"/>
    <w:p w14:paraId="3E69AB96" w14:textId="3C163F0E" w:rsidR="008D34CB" w:rsidRPr="008720BC" w:rsidRDefault="008D34CB" w:rsidP="008D34CB">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Maths Subject Lead</w:t>
      </w:r>
    </w:p>
    <w:tbl>
      <w:tblPr>
        <w:tblStyle w:val="TableGrid1"/>
        <w:tblW w:w="0" w:type="auto"/>
        <w:jc w:val="center"/>
        <w:tblLook w:val="04A0" w:firstRow="1" w:lastRow="0" w:firstColumn="1" w:lastColumn="0" w:noHBand="0" w:noVBand="1"/>
      </w:tblPr>
      <w:tblGrid>
        <w:gridCol w:w="3397"/>
        <w:gridCol w:w="5511"/>
      </w:tblGrid>
      <w:tr w:rsidR="008D34CB" w:rsidRPr="008720BC" w14:paraId="0CFFE073" w14:textId="77777777" w:rsidTr="00BD120A">
        <w:trPr>
          <w:jc w:val="center"/>
        </w:trPr>
        <w:tc>
          <w:tcPr>
            <w:tcW w:w="3397" w:type="dxa"/>
          </w:tcPr>
          <w:p w14:paraId="76E86AA3" w14:textId="77777777" w:rsidR="008D34CB" w:rsidRPr="008720BC" w:rsidRDefault="008D34CB" w:rsidP="00BD120A">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4D4FE48D" w14:textId="77777777" w:rsidR="008D34CB" w:rsidRPr="008720BC" w:rsidRDefault="008D34CB" w:rsidP="00BD120A">
            <w:pPr>
              <w:spacing w:before="0" w:line="276" w:lineRule="auto"/>
              <w:rPr>
                <w:rFonts w:cs="Arial"/>
                <w:color w:val="808080" w:themeColor="background1" w:themeShade="80"/>
                <w:szCs w:val="20"/>
              </w:rPr>
            </w:pPr>
          </w:p>
        </w:tc>
      </w:tr>
      <w:tr w:rsidR="008D34CB" w:rsidRPr="008720BC" w14:paraId="584975F4" w14:textId="77777777" w:rsidTr="00BD120A">
        <w:trPr>
          <w:jc w:val="center"/>
        </w:trPr>
        <w:tc>
          <w:tcPr>
            <w:tcW w:w="3397" w:type="dxa"/>
          </w:tcPr>
          <w:p w14:paraId="4F524C7B" w14:textId="77777777" w:rsidR="008D34CB" w:rsidRPr="008720BC" w:rsidRDefault="008D34CB" w:rsidP="00BD120A">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34CE712" w14:textId="77777777" w:rsidR="008D34CB" w:rsidRPr="008720BC" w:rsidRDefault="008D34CB" w:rsidP="00BD120A">
            <w:pPr>
              <w:spacing w:before="0" w:line="276" w:lineRule="auto"/>
              <w:rPr>
                <w:rFonts w:cs="Arial"/>
                <w:color w:val="808080" w:themeColor="background1" w:themeShade="80"/>
                <w:szCs w:val="20"/>
              </w:rPr>
            </w:pPr>
          </w:p>
        </w:tc>
      </w:tr>
      <w:tr w:rsidR="008D34CB" w:rsidRPr="008720BC" w14:paraId="272964A5" w14:textId="77777777" w:rsidTr="00BD120A">
        <w:trPr>
          <w:jc w:val="center"/>
        </w:trPr>
        <w:tc>
          <w:tcPr>
            <w:tcW w:w="3397" w:type="dxa"/>
          </w:tcPr>
          <w:p w14:paraId="153EF85F" w14:textId="77777777" w:rsidR="008D34CB" w:rsidRPr="008720BC" w:rsidRDefault="008D34CB" w:rsidP="00BD120A">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7"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CB091D" w14:textId="77777777" w:rsidR="008D34CB" w:rsidRPr="008720BC" w:rsidRDefault="008D34CB" w:rsidP="00BD120A">
            <w:pPr>
              <w:spacing w:before="0" w:line="276" w:lineRule="auto"/>
              <w:rPr>
                <w:rFonts w:cs="Arial"/>
                <w:color w:val="808080" w:themeColor="background1" w:themeShade="80"/>
                <w:szCs w:val="20"/>
              </w:rPr>
            </w:pPr>
          </w:p>
        </w:tc>
      </w:tr>
      <w:tr w:rsidR="008D34CB" w:rsidRPr="008720BC" w14:paraId="2AD93DDC" w14:textId="77777777" w:rsidTr="00BD120A">
        <w:trPr>
          <w:jc w:val="center"/>
        </w:trPr>
        <w:tc>
          <w:tcPr>
            <w:tcW w:w="3397" w:type="dxa"/>
          </w:tcPr>
          <w:p w14:paraId="7A06CFE0" w14:textId="77777777" w:rsidR="008D34CB" w:rsidRPr="008720BC" w:rsidRDefault="008D34CB" w:rsidP="00BD120A">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7261BE95" w14:textId="77777777" w:rsidR="008D34CB" w:rsidRPr="008720BC" w:rsidRDefault="008D34CB" w:rsidP="00BD120A">
            <w:pPr>
              <w:spacing w:before="0" w:line="276" w:lineRule="auto"/>
              <w:rPr>
                <w:rFonts w:cs="Arial"/>
                <w:color w:val="808080" w:themeColor="background1" w:themeShade="80"/>
                <w:szCs w:val="20"/>
              </w:rPr>
            </w:pPr>
          </w:p>
        </w:tc>
      </w:tr>
      <w:tr w:rsidR="008D34CB" w:rsidRPr="008720BC" w14:paraId="740CC43F" w14:textId="77777777" w:rsidTr="00BD120A">
        <w:trPr>
          <w:jc w:val="center"/>
        </w:trPr>
        <w:tc>
          <w:tcPr>
            <w:tcW w:w="3397" w:type="dxa"/>
          </w:tcPr>
          <w:p w14:paraId="6B26F1C4" w14:textId="550D4CED" w:rsidR="008D34CB" w:rsidRDefault="008D34CB" w:rsidP="00BD120A">
            <w:pPr>
              <w:spacing w:before="0" w:line="276" w:lineRule="auto"/>
              <w:rPr>
                <w:color w:val="808080" w:themeColor="background1" w:themeShade="80"/>
                <w:szCs w:val="20"/>
              </w:rPr>
            </w:pPr>
            <w:r w:rsidRPr="00D3262B">
              <w:rPr>
                <w:color w:val="808080" w:themeColor="background1" w:themeShade="80"/>
                <w:szCs w:val="20"/>
              </w:rPr>
              <w:lastRenderedPageBreak/>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w:t>
            </w:r>
            <w:r>
              <w:rPr>
                <w:color w:val="808080" w:themeColor="background1" w:themeShade="80"/>
                <w:szCs w:val="20"/>
              </w:rPr>
              <w:t>2</w:t>
            </w:r>
            <w:r w:rsidRPr="00D3262B">
              <w:rPr>
                <w:color w:val="808080" w:themeColor="background1" w:themeShade="80"/>
                <w:szCs w:val="20"/>
              </w:rPr>
              <w:t>/2</w:t>
            </w:r>
            <w:r>
              <w:rPr>
                <w:color w:val="808080" w:themeColor="background1" w:themeShade="80"/>
                <w:szCs w:val="20"/>
              </w:rPr>
              <w:t>3</w:t>
            </w:r>
          </w:p>
        </w:tc>
        <w:tc>
          <w:tcPr>
            <w:tcW w:w="5511" w:type="dxa"/>
          </w:tcPr>
          <w:p w14:paraId="5015EC08" w14:textId="77777777" w:rsidR="008D34CB" w:rsidRPr="008720BC" w:rsidRDefault="008D34CB" w:rsidP="00BD120A">
            <w:pPr>
              <w:spacing w:before="0" w:line="276" w:lineRule="auto"/>
              <w:rPr>
                <w:color w:val="808080" w:themeColor="background1" w:themeShade="80"/>
                <w:szCs w:val="20"/>
              </w:rPr>
            </w:pPr>
          </w:p>
        </w:tc>
      </w:tr>
    </w:tbl>
    <w:p w14:paraId="28D1A0D2" w14:textId="77777777" w:rsidR="008D34CB" w:rsidRDefault="008D34CB" w:rsidP="008D34CB">
      <w:pPr>
        <w:spacing w:before="0" w:after="60" w:line="240" w:lineRule="auto"/>
        <w:rPr>
          <w:rFonts w:eastAsia="Calibri"/>
          <w:b/>
          <w:color w:val="808080" w:themeColor="background1" w:themeShade="80"/>
          <w:szCs w:val="20"/>
          <w:lang w:eastAsia="en-US"/>
        </w:rPr>
      </w:pPr>
    </w:p>
    <w:p w14:paraId="5065406B" w14:textId="426FCDC8" w:rsidR="008720BC" w:rsidRPr="008720BC" w:rsidRDefault="00D90EB2" w:rsidP="008D34CB">
      <w:pPr>
        <w:spacing w:before="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br w:type="page"/>
      </w:r>
      <w:r w:rsidR="00857F22">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 xml:space="preserve">Please give details of why you wish the school to participate in the Work Group including any contextual information which may mean that pupils in Reception, Year 1 and Year 2 would benefit from the Mastering Number </w:t>
            </w:r>
            <w:proofErr w:type="spellStart"/>
            <w:r w:rsidRPr="00367641">
              <w:rPr>
                <w:rFonts w:cs="Arial"/>
                <w:color w:val="808080" w:themeColor="background1" w:themeShade="80"/>
                <w:szCs w:val="20"/>
              </w:rPr>
              <w:t>programme</w:t>
            </w:r>
            <w:proofErr w:type="spellEnd"/>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0E20BFF3" w14:textId="77777777" w:rsidR="00116318" w:rsidRDefault="00116318" w:rsidP="008720BC">
            <w:pPr>
              <w:spacing w:before="0" w:line="240" w:lineRule="auto"/>
              <w:jc w:val="center"/>
              <w:rPr>
                <w:color w:val="808080" w:themeColor="background1" w:themeShade="80"/>
                <w:szCs w:val="20"/>
              </w:rPr>
            </w:pPr>
          </w:p>
          <w:p w14:paraId="0BCEC060" w14:textId="77777777" w:rsidR="00C7656B" w:rsidRDefault="00C7656B" w:rsidP="008720BC">
            <w:pPr>
              <w:spacing w:before="0" w:line="240" w:lineRule="auto"/>
              <w:jc w:val="center"/>
              <w:rPr>
                <w:color w:val="808080" w:themeColor="background1" w:themeShade="80"/>
                <w:szCs w:val="20"/>
              </w:rPr>
            </w:pPr>
          </w:p>
          <w:p w14:paraId="23134351" w14:textId="77777777" w:rsidR="00C7656B" w:rsidRDefault="00C7656B" w:rsidP="008720BC">
            <w:pPr>
              <w:spacing w:before="0" w:line="240" w:lineRule="auto"/>
              <w:jc w:val="center"/>
              <w:rPr>
                <w:color w:val="808080" w:themeColor="background1" w:themeShade="80"/>
                <w:szCs w:val="20"/>
              </w:rPr>
            </w:pPr>
          </w:p>
          <w:p w14:paraId="6541A98D" w14:textId="77777777" w:rsidR="00C7656B" w:rsidRDefault="00C7656B" w:rsidP="008720BC">
            <w:pPr>
              <w:spacing w:before="0" w:line="240" w:lineRule="auto"/>
              <w:jc w:val="center"/>
              <w:rPr>
                <w:color w:val="808080" w:themeColor="background1" w:themeShade="80"/>
                <w:szCs w:val="20"/>
              </w:rPr>
            </w:pPr>
          </w:p>
          <w:p w14:paraId="142CC9C7" w14:textId="77777777" w:rsidR="00C7656B" w:rsidRDefault="00C7656B" w:rsidP="008720BC">
            <w:pPr>
              <w:spacing w:before="0" w:line="240" w:lineRule="auto"/>
              <w:jc w:val="center"/>
              <w:rPr>
                <w:color w:val="808080" w:themeColor="background1" w:themeShade="80"/>
                <w:szCs w:val="20"/>
              </w:rPr>
            </w:pPr>
          </w:p>
          <w:p w14:paraId="2B5ED168" w14:textId="77777777" w:rsidR="00C7656B" w:rsidRDefault="00C7656B" w:rsidP="008720BC">
            <w:pPr>
              <w:spacing w:before="0" w:line="240" w:lineRule="auto"/>
              <w:jc w:val="center"/>
              <w:rPr>
                <w:color w:val="808080" w:themeColor="background1" w:themeShade="80"/>
                <w:szCs w:val="20"/>
              </w:rPr>
            </w:pPr>
          </w:p>
          <w:p w14:paraId="7FAB5678" w14:textId="1545A1D9" w:rsidR="00C7656B" w:rsidRPr="008720BC" w:rsidRDefault="00C7656B"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school will introduce Mastering Number in all Reception, Year 1 and Year 2 classes in addition to their daily maths lesson (which could be shortened as a result of participation in this Work Group)</w:t>
      </w:r>
    </w:p>
    <w:p w14:paraId="3D1EEA65" w14:textId="1294989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 xml:space="preserve">The lead teachers will be expected to regularly contribute to an online community led by the Work Group Lead, reflecting on the implementation and impact of the </w:t>
      </w:r>
      <w:proofErr w:type="spellStart"/>
      <w:r w:rsidRPr="00DA613A">
        <w:rPr>
          <w:rFonts w:eastAsia="Calibri"/>
          <w:color w:val="808080" w:themeColor="background1" w:themeShade="80"/>
          <w:szCs w:val="20"/>
          <w:lang w:val="en-US" w:eastAsia="en-US"/>
        </w:rPr>
        <w:t>programme</w:t>
      </w:r>
      <w:proofErr w:type="spellEnd"/>
      <w:r w:rsidRPr="00DA613A">
        <w:rPr>
          <w:rFonts w:eastAsia="Calibri"/>
          <w:color w:val="808080" w:themeColor="background1" w:themeShade="80"/>
          <w:szCs w:val="20"/>
          <w:lang w:val="en-US" w:eastAsia="en-US"/>
        </w:rPr>
        <w:t xml:space="preserve"> including two online sessions in 202</w:t>
      </w:r>
      <w:r w:rsidR="00C7656B">
        <w:rPr>
          <w:rFonts w:eastAsia="Calibri"/>
          <w:color w:val="808080" w:themeColor="background1" w:themeShade="80"/>
          <w:szCs w:val="20"/>
          <w:lang w:val="en-US" w:eastAsia="en-US"/>
        </w:rPr>
        <w:t>2</w:t>
      </w:r>
      <w:r w:rsidRPr="00DA613A">
        <w:rPr>
          <w:rFonts w:eastAsia="Calibri"/>
          <w:color w:val="808080" w:themeColor="background1" w:themeShade="80"/>
          <w:szCs w:val="20"/>
          <w:lang w:val="en-US" w:eastAsia="en-US"/>
        </w:rPr>
        <w:t>/2</w:t>
      </w:r>
      <w:r w:rsidR="00C7656B">
        <w:rPr>
          <w:rFonts w:eastAsia="Calibri"/>
          <w:color w:val="808080" w:themeColor="background1" w:themeShade="80"/>
          <w:szCs w:val="20"/>
          <w:lang w:val="en-US" w:eastAsia="en-US"/>
        </w:rPr>
        <w:t>3</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1"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1"/>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r w:rsidR="008D34CB" w:rsidRPr="008720BC" w14:paraId="1BE4E10C" w14:textId="77777777" w:rsidTr="000A3491">
        <w:tc>
          <w:tcPr>
            <w:tcW w:w="2864" w:type="dxa"/>
            <w:vAlign w:val="center"/>
          </w:tcPr>
          <w:p w14:paraId="0002CAC9" w14:textId="4FBC0EFC" w:rsidR="008D34CB" w:rsidRDefault="008D34CB" w:rsidP="008720BC">
            <w:pPr>
              <w:spacing w:before="60" w:after="60" w:line="276" w:lineRule="auto"/>
              <w:rPr>
                <w:color w:val="808080" w:themeColor="background1" w:themeShade="80"/>
                <w:szCs w:val="20"/>
              </w:rPr>
            </w:pPr>
            <w:r>
              <w:rPr>
                <w:color w:val="808080" w:themeColor="background1" w:themeShade="80"/>
                <w:szCs w:val="20"/>
              </w:rPr>
              <w:t xml:space="preserve">Maths Subject Lead </w:t>
            </w:r>
          </w:p>
        </w:tc>
        <w:tc>
          <w:tcPr>
            <w:tcW w:w="6038" w:type="dxa"/>
            <w:vAlign w:val="center"/>
          </w:tcPr>
          <w:p w14:paraId="062A32A0" w14:textId="3AA551BA" w:rsidR="008D34CB" w:rsidRPr="008720BC" w:rsidRDefault="008D34CB" w:rsidP="008720BC">
            <w:pPr>
              <w:spacing w:before="60" w:after="60" w:line="276" w:lineRule="auto"/>
              <w:rPr>
                <w:i/>
                <w:color w:val="808080" w:themeColor="background1" w:themeShade="80"/>
                <w:szCs w:val="20"/>
              </w:rPr>
            </w:pPr>
            <w:r w:rsidRPr="008D34CB">
              <w:rPr>
                <w:i/>
                <w:color w:val="808080" w:themeColor="background1" w:themeShade="80"/>
                <w:szCs w:val="20"/>
              </w:rPr>
              <w:t xml:space="preserve">Signature of </w:t>
            </w:r>
            <w:r>
              <w:rPr>
                <w:i/>
                <w:color w:val="808080" w:themeColor="background1" w:themeShade="80"/>
                <w:szCs w:val="20"/>
              </w:rPr>
              <w:t>Maths Subject Lead</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7B19BBB1" w14:textId="25426A0B" w:rsidR="008D34CB" w:rsidRDefault="008D34CB" w:rsidP="00DF61CD">
      <w:pPr>
        <w:rPr>
          <w:color w:val="808080" w:themeColor="background1" w:themeShade="80"/>
          <w:szCs w:val="20"/>
        </w:rPr>
      </w:pPr>
    </w:p>
    <w:p w14:paraId="7FEAF265" w14:textId="73621B0D" w:rsidR="008D34CB" w:rsidRDefault="008D34CB" w:rsidP="00DF61CD">
      <w:pPr>
        <w:rPr>
          <w:color w:val="808080" w:themeColor="background1" w:themeShade="80"/>
          <w:szCs w:val="20"/>
        </w:rPr>
      </w:pPr>
    </w:p>
    <w:p w14:paraId="15B4C66C" w14:textId="532CEB16" w:rsidR="008D34CB" w:rsidRDefault="008D34CB" w:rsidP="00DF61CD">
      <w:pPr>
        <w:rPr>
          <w:color w:val="808080" w:themeColor="background1" w:themeShade="80"/>
          <w:szCs w:val="20"/>
        </w:rPr>
      </w:pPr>
    </w:p>
    <w:p w14:paraId="7D437A43" w14:textId="20B6634A" w:rsidR="008D34CB" w:rsidRDefault="008D34CB" w:rsidP="00DF61CD">
      <w:pPr>
        <w:rPr>
          <w:color w:val="808080" w:themeColor="background1" w:themeShade="80"/>
          <w:szCs w:val="20"/>
        </w:rPr>
      </w:pPr>
    </w:p>
    <w:p w14:paraId="100BC69B" w14:textId="2ECEEF0B" w:rsidR="008D34CB" w:rsidRDefault="008D34CB" w:rsidP="00DF61CD">
      <w:pPr>
        <w:rPr>
          <w:color w:val="808080" w:themeColor="background1" w:themeShade="80"/>
          <w:szCs w:val="20"/>
        </w:rPr>
      </w:pPr>
    </w:p>
    <w:p w14:paraId="53B53E74" w14:textId="6B29D097" w:rsidR="008D34CB" w:rsidRDefault="008D34CB" w:rsidP="00DF61CD">
      <w:pPr>
        <w:rPr>
          <w:color w:val="808080" w:themeColor="background1" w:themeShade="80"/>
          <w:szCs w:val="20"/>
        </w:rPr>
      </w:pPr>
    </w:p>
    <w:p w14:paraId="3E3412A3" w14:textId="6EBBD2B3" w:rsidR="008D34CB" w:rsidRDefault="008D34CB" w:rsidP="00DF61CD">
      <w:pPr>
        <w:rPr>
          <w:color w:val="808080" w:themeColor="background1" w:themeShade="80"/>
          <w:szCs w:val="20"/>
        </w:rPr>
      </w:pPr>
    </w:p>
    <w:p w14:paraId="368F14EA" w14:textId="2A222076" w:rsidR="008D34CB" w:rsidRDefault="008D34CB" w:rsidP="00DF61CD">
      <w:pPr>
        <w:rPr>
          <w:color w:val="808080" w:themeColor="background1" w:themeShade="80"/>
          <w:szCs w:val="20"/>
        </w:rPr>
      </w:pPr>
    </w:p>
    <w:p w14:paraId="7A442555" w14:textId="23591F3F" w:rsidR="008D34CB" w:rsidRDefault="008D34CB" w:rsidP="00DF61CD">
      <w:pPr>
        <w:rPr>
          <w:color w:val="808080" w:themeColor="background1" w:themeShade="80"/>
          <w:szCs w:val="20"/>
        </w:rPr>
      </w:pPr>
    </w:p>
    <w:p w14:paraId="2D1086FC" w14:textId="6E1735E1" w:rsidR="008D34CB" w:rsidRDefault="008D34CB" w:rsidP="00DF61CD">
      <w:pPr>
        <w:rPr>
          <w:color w:val="808080" w:themeColor="background1" w:themeShade="80"/>
          <w:szCs w:val="20"/>
        </w:rPr>
      </w:pPr>
    </w:p>
    <w:sectPr w:rsidR="008D34CB" w:rsidSect="008D34CB">
      <w:pgSz w:w="11906" w:h="16838"/>
      <w:pgMar w:top="851" w:right="1134"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FE9A" w14:textId="77777777" w:rsidR="006502A4" w:rsidRDefault="006502A4">
      <w:r>
        <w:separator/>
      </w:r>
    </w:p>
  </w:endnote>
  <w:endnote w:type="continuationSeparator" w:id="0">
    <w:p w14:paraId="15D90060" w14:textId="77777777" w:rsidR="006502A4" w:rsidRDefault="006502A4">
      <w:r>
        <w:continuationSeparator/>
      </w:r>
    </w:p>
  </w:endnote>
  <w:endnote w:type="continuationNotice" w:id="1">
    <w:p w14:paraId="57A73492" w14:textId="77777777" w:rsidR="006502A4" w:rsidRDefault="006502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DF2D" w14:textId="77777777" w:rsidR="006502A4" w:rsidRDefault="006502A4">
      <w:r>
        <w:separator/>
      </w:r>
    </w:p>
  </w:footnote>
  <w:footnote w:type="continuationSeparator" w:id="0">
    <w:p w14:paraId="68E8D0EE" w14:textId="77777777" w:rsidR="006502A4" w:rsidRDefault="006502A4">
      <w:r>
        <w:continuationSeparator/>
      </w:r>
    </w:p>
  </w:footnote>
  <w:footnote w:type="continuationNotice" w:id="1">
    <w:p w14:paraId="20DC51F0" w14:textId="77777777" w:rsidR="006502A4" w:rsidRDefault="006502A4">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39065510">
    <w:abstractNumId w:val="1"/>
  </w:num>
  <w:num w:numId="2" w16cid:durableId="945889442">
    <w:abstractNumId w:val="27"/>
  </w:num>
  <w:num w:numId="3" w16cid:durableId="479690332">
    <w:abstractNumId w:val="23"/>
  </w:num>
  <w:num w:numId="4" w16cid:durableId="1554392499">
    <w:abstractNumId w:val="11"/>
  </w:num>
  <w:num w:numId="5" w16cid:durableId="1301573913">
    <w:abstractNumId w:val="12"/>
  </w:num>
  <w:num w:numId="6" w16cid:durableId="1297103429">
    <w:abstractNumId w:val="7"/>
  </w:num>
  <w:num w:numId="7" w16cid:durableId="1221332203">
    <w:abstractNumId w:val="5"/>
  </w:num>
  <w:num w:numId="8" w16cid:durableId="213783605">
    <w:abstractNumId w:val="26"/>
  </w:num>
  <w:num w:numId="9" w16cid:durableId="421027116">
    <w:abstractNumId w:val="17"/>
  </w:num>
  <w:num w:numId="10" w16cid:durableId="1638951293">
    <w:abstractNumId w:val="14"/>
  </w:num>
  <w:num w:numId="11" w16cid:durableId="2141141799">
    <w:abstractNumId w:val="24"/>
  </w:num>
  <w:num w:numId="12" w16cid:durableId="671496843">
    <w:abstractNumId w:val="13"/>
  </w:num>
  <w:num w:numId="13" w16cid:durableId="272904734">
    <w:abstractNumId w:val="2"/>
  </w:num>
  <w:num w:numId="14" w16cid:durableId="26682818">
    <w:abstractNumId w:val="0"/>
  </w:num>
  <w:num w:numId="15" w16cid:durableId="2069037966">
    <w:abstractNumId w:val="28"/>
  </w:num>
  <w:num w:numId="16" w16cid:durableId="2061633017">
    <w:abstractNumId w:val="25"/>
  </w:num>
  <w:num w:numId="17" w16cid:durableId="1916087004">
    <w:abstractNumId w:val="18"/>
  </w:num>
  <w:num w:numId="18" w16cid:durableId="1844391504">
    <w:abstractNumId w:val="8"/>
  </w:num>
  <w:num w:numId="19" w16cid:durableId="225537090">
    <w:abstractNumId w:val="10"/>
  </w:num>
  <w:num w:numId="20" w16cid:durableId="459347614">
    <w:abstractNumId w:val="9"/>
  </w:num>
  <w:num w:numId="21" w16cid:durableId="1363046395">
    <w:abstractNumId w:val="29"/>
  </w:num>
  <w:num w:numId="22" w16cid:durableId="1133643207">
    <w:abstractNumId w:val="31"/>
  </w:num>
  <w:num w:numId="23" w16cid:durableId="1759326023">
    <w:abstractNumId w:val="19"/>
  </w:num>
  <w:num w:numId="24" w16cid:durableId="1607078303">
    <w:abstractNumId w:val="16"/>
  </w:num>
  <w:num w:numId="25" w16cid:durableId="1343896932">
    <w:abstractNumId w:val="22"/>
  </w:num>
  <w:num w:numId="26" w16cid:durableId="1157303944">
    <w:abstractNumId w:val="3"/>
  </w:num>
  <w:num w:numId="27" w16cid:durableId="288514421">
    <w:abstractNumId w:val="30"/>
  </w:num>
  <w:num w:numId="28" w16cid:durableId="2100517621">
    <w:abstractNumId w:val="21"/>
  </w:num>
  <w:num w:numId="29" w16cid:durableId="1451511653">
    <w:abstractNumId w:val="4"/>
  </w:num>
  <w:num w:numId="30" w16cid:durableId="1538278178">
    <w:abstractNumId w:val="20"/>
  </w:num>
  <w:num w:numId="31" w16cid:durableId="26372778">
    <w:abstractNumId w:val="15"/>
  </w:num>
  <w:num w:numId="32" w16cid:durableId="10881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27A8"/>
    <w:rsid w:val="000128EF"/>
    <w:rsid w:val="00012BA5"/>
    <w:rsid w:val="00020671"/>
    <w:rsid w:val="000267FA"/>
    <w:rsid w:val="00026C6F"/>
    <w:rsid w:val="000378F9"/>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411"/>
    <w:rsid w:val="00125E7D"/>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1F7FE9"/>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36BC2"/>
    <w:rsid w:val="004406EE"/>
    <w:rsid w:val="0044150C"/>
    <w:rsid w:val="00443A1D"/>
    <w:rsid w:val="00447C51"/>
    <w:rsid w:val="0045228D"/>
    <w:rsid w:val="004628FB"/>
    <w:rsid w:val="00462A73"/>
    <w:rsid w:val="00465B8A"/>
    <w:rsid w:val="00495043"/>
    <w:rsid w:val="004979B0"/>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502A4"/>
    <w:rsid w:val="006540A4"/>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7200"/>
    <w:rsid w:val="008573D4"/>
    <w:rsid w:val="00857F22"/>
    <w:rsid w:val="008720BC"/>
    <w:rsid w:val="00880AE2"/>
    <w:rsid w:val="00885806"/>
    <w:rsid w:val="008951D3"/>
    <w:rsid w:val="008B6CA2"/>
    <w:rsid w:val="008C6C23"/>
    <w:rsid w:val="008D09CC"/>
    <w:rsid w:val="008D34CB"/>
    <w:rsid w:val="008D395B"/>
    <w:rsid w:val="008E0EB4"/>
    <w:rsid w:val="008E4454"/>
    <w:rsid w:val="009110D7"/>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43A6"/>
    <w:rsid w:val="00A36431"/>
    <w:rsid w:val="00A37BFE"/>
    <w:rsid w:val="00A409A9"/>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BF57EE"/>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56B"/>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56653"/>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53FC0"/>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etm.org.uk/maths-hubs/find-your-h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makin@three-saints.org.uk" TargetMode="External"/><Relationship Id="rId17" Type="http://schemas.openxmlformats.org/officeDocument/2006/relationships/hyperlink" Target="https://www.gov.uk/guidance/request-a-reminder-for-a-teacher-reference-number-trn" TargetMode="External"/><Relationship Id="rId2" Type="http://schemas.openxmlformats.org/officeDocument/2006/relationships/customXml" Target="../customXml/item2.xml"/><Relationship Id="rId16" Type="http://schemas.openxmlformats.org/officeDocument/2006/relationships/hyperlink" Target="https://www.gov.uk/guidance/request-a-reminder-for-a-teacher-reference-number-tr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teaching-for-mastery/" TargetMode="External"/><Relationship Id="rId5" Type="http://schemas.openxmlformats.org/officeDocument/2006/relationships/styles" Target="styles.xml"/><Relationship Id="rId15" Type="http://schemas.openxmlformats.org/officeDocument/2006/relationships/hyperlink" Target="https://www.gov.uk/guidance/request-a-reminder-for-a-teacher-reference-number-tr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Lisa Bradshaw</cp:lastModifiedBy>
  <cp:revision>2</cp:revision>
  <cp:lastPrinted>2006-10-20T09:58:00Z</cp:lastPrinted>
  <dcterms:created xsi:type="dcterms:W3CDTF">2022-05-18T06:26:00Z</dcterms:created>
  <dcterms:modified xsi:type="dcterms:W3CDTF">2022-05-18T06:26:00Z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